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E6C7E" w14:textId="77777777" w:rsidR="00B31867" w:rsidRPr="00D96D41" w:rsidRDefault="00B31867" w:rsidP="00B31867">
      <w:pPr>
        <w:spacing w:after="0" w:line="240" w:lineRule="auto"/>
        <w:rPr>
          <w:rFonts w:cs="Arial"/>
          <w:b/>
          <w:color w:val="6EB1A7"/>
          <w:sz w:val="28"/>
          <w:szCs w:val="28"/>
        </w:rPr>
      </w:pPr>
      <w:bookmarkStart w:id="0" w:name="_GoBack"/>
      <w:bookmarkEnd w:id="0"/>
      <w:r w:rsidRPr="00D96D41">
        <w:rPr>
          <w:rFonts w:cs="Arial"/>
          <w:b/>
          <w:color w:val="6EB1A7"/>
          <w:sz w:val="28"/>
          <w:szCs w:val="28"/>
        </w:rPr>
        <w:t>What is pediatric Advance Care Planning (</w:t>
      </w:r>
      <w:proofErr w:type="spellStart"/>
      <w:r w:rsidRPr="00D96D41">
        <w:rPr>
          <w:rFonts w:cs="Arial"/>
          <w:b/>
          <w:color w:val="6EB1A7"/>
          <w:sz w:val="28"/>
          <w:szCs w:val="28"/>
        </w:rPr>
        <w:t>pACP</w:t>
      </w:r>
      <w:proofErr w:type="spellEnd"/>
      <w:r w:rsidRPr="00D96D41">
        <w:rPr>
          <w:rFonts w:cs="Arial"/>
          <w:b/>
          <w:color w:val="6EB1A7"/>
          <w:sz w:val="28"/>
          <w:szCs w:val="28"/>
        </w:rPr>
        <w:t>)?</w:t>
      </w:r>
    </w:p>
    <w:p w14:paraId="4CC51A01" w14:textId="77777777" w:rsidR="00AB55AB" w:rsidRPr="00AB55AB" w:rsidRDefault="00AB55AB" w:rsidP="00B31867">
      <w:pPr>
        <w:spacing w:after="0" w:line="240" w:lineRule="auto"/>
        <w:rPr>
          <w:rFonts w:cs="Arial"/>
          <w:b/>
          <w:i/>
          <w:sz w:val="10"/>
          <w:szCs w:val="10"/>
        </w:rPr>
      </w:pPr>
    </w:p>
    <w:p w14:paraId="40837859" w14:textId="77777777" w:rsidR="00B31867" w:rsidRPr="00D96D41" w:rsidRDefault="00B31867" w:rsidP="00D96D41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</w:rPr>
      </w:pPr>
      <w:proofErr w:type="spellStart"/>
      <w:proofErr w:type="gramStart"/>
      <w:r>
        <w:t>p</w:t>
      </w:r>
      <w:r w:rsidRPr="003D00C0">
        <w:t>ACP</w:t>
      </w:r>
      <w:proofErr w:type="spellEnd"/>
      <w:proofErr w:type="gramEnd"/>
      <w:r w:rsidRPr="003D00C0">
        <w:t xml:space="preserve"> is a lifelong process of </w:t>
      </w:r>
      <w:r>
        <w:t>reflection and communication to identify</w:t>
      </w:r>
      <w:r w:rsidRPr="003D00C0">
        <w:t xml:space="preserve"> values</w:t>
      </w:r>
      <w:r>
        <w:t>, wishes and beliefs</w:t>
      </w:r>
      <w:r w:rsidRPr="003D00C0">
        <w:t xml:space="preserve"> in relation to the kind of health and/or personal care a child, or parent may want for their child, to guide future healthcare decisions at times of great uncertainty. </w:t>
      </w:r>
    </w:p>
    <w:p w14:paraId="0EACBBF6" w14:textId="77777777" w:rsidR="00B31867" w:rsidRPr="00D96D41" w:rsidRDefault="00B31867" w:rsidP="00D96D41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</w:rPr>
      </w:pPr>
      <w:r>
        <w:t xml:space="preserve">In pediatrics, this also includes considering the child’s ability to understand, participate and make specific decisions in regards to their care. </w:t>
      </w:r>
    </w:p>
    <w:p w14:paraId="13B386BD" w14:textId="77777777" w:rsidR="00B31867" w:rsidRPr="00D96D41" w:rsidRDefault="00B31867" w:rsidP="00D96D41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</w:rPr>
      </w:pPr>
      <w:r w:rsidRPr="003D00C0">
        <w:t>Pediatric ACP (</w:t>
      </w:r>
      <w:proofErr w:type="spellStart"/>
      <w:r w:rsidRPr="003D00C0">
        <w:t>pACP</w:t>
      </w:r>
      <w:proofErr w:type="spellEnd"/>
      <w:r w:rsidRPr="003D00C0">
        <w:t>) involves the concept of parallel planning – planning for both the life of the child while also planning for deterioration/death to allow for the child’s full potential. This primes the mobilization of services and healthcare professionals when necessary.</w:t>
      </w:r>
    </w:p>
    <w:p w14:paraId="6944C73E" w14:textId="77777777" w:rsidR="00B31867" w:rsidRPr="00D96D41" w:rsidRDefault="00B31867" w:rsidP="00D96D41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</w:rPr>
      </w:pPr>
      <w:r w:rsidRPr="003D00C0">
        <w:t xml:space="preserve">An Advance Care Plan may at times look like an anticipatory care plan – laying out actions to be taken if or when a child’s illness is unstable or deteriorates or they develop life threatening complications due to their illness. </w:t>
      </w:r>
    </w:p>
    <w:p w14:paraId="0E9C7369" w14:textId="77777777" w:rsidR="00B31867" w:rsidRPr="003D00C0" w:rsidRDefault="00B31867" w:rsidP="00B31867">
      <w:pPr>
        <w:rPr>
          <w:rFonts w:cs="Arial"/>
          <w:sz w:val="16"/>
          <w:szCs w:val="16"/>
        </w:rPr>
      </w:pPr>
    </w:p>
    <w:p w14:paraId="771CFBFC" w14:textId="77777777" w:rsidR="00B31867" w:rsidRPr="00D96D41" w:rsidRDefault="00B31867" w:rsidP="00B31867">
      <w:pPr>
        <w:spacing w:after="0" w:line="240" w:lineRule="auto"/>
        <w:rPr>
          <w:rFonts w:cs="Arial"/>
          <w:b/>
          <w:color w:val="6EB1A7"/>
          <w:sz w:val="28"/>
          <w:szCs w:val="28"/>
        </w:rPr>
      </w:pPr>
      <w:r w:rsidRPr="00D96D41">
        <w:rPr>
          <w:rFonts w:cs="Arial"/>
          <w:b/>
          <w:color w:val="6EB1A7"/>
          <w:sz w:val="28"/>
          <w:szCs w:val="28"/>
        </w:rPr>
        <w:t>Why are ACP/Goals of Care (GOC) conversations important?</w:t>
      </w:r>
    </w:p>
    <w:p w14:paraId="2DFBFB5E" w14:textId="77777777" w:rsidR="00AB55AB" w:rsidRPr="00AB55AB" w:rsidRDefault="00AB55AB" w:rsidP="00B31867">
      <w:pPr>
        <w:spacing w:after="0" w:line="240" w:lineRule="auto"/>
        <w:rPr>
          <w:rFonts w:cs="Arial"/>
          <w:b/>
          <w:i/>
          <w:sz w:val="10"/>
          <w:szCs w:val="10"/>
        </w:rPr>
      </w:pPr>
    </w:p>
    <w:p w14:paraId="36E712B3" w14:textId="77777777" w:rsidR="00B31867" w:rsidRPr="00D96D41" w:rsidRDefault="00B31867" w:rsidP="00D96D41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</w:rPr>
      </w:pPr>
      <w:proofErr w:type="spellStart"/>
      <w:proofErr w:type="gramStart"/>
      <w:r w:rsidRPr="003D00C0">
        <w:t>pACP</w:t>
      </w:r>
      <w:proofErr w:type="spellEnd"/>
      <w:proofErr w:type="gramEnd"/>
      <w:r w:rsidRPr="003D00C0">
        <w:t xml:space="preserve"> is recognized in the literature to increase children’s (when applicable) and parents’ capacity to anticipate decisions, support family coping, provide peace of mind, increase sense of control and reduce suffering. </w:t>
      </w:r>
      <w:r w:rsidRPr="00D96D41">
        <w:rPr>
          <w:vertAlign w:val="superscript"/>
        </w:rPr>
        <w:t xml:space="preserve"> </w:t>
      </w:r>
    </w:p>
    <w:p w14:paraId="59C536CA" w14:textId="77777777" w:rsidR="00B31867" w:rsidRPr="00D96D41" w:rsidRDefault="00B31867" w:rsidP="00D96D41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</w:rPr>
      </w:pPr>
      <w:r w:rsidRPr="00D96D41">
        <w:rPr>
          <w:rFonts w:cs="Arial"/>
        </w:rPr>
        <w:t xml:space="preserve">A child/family have the ability to plan anticipated healthcare decisions when ACP/GOC conversations happen early, regularly and routinely across a child’s illness trajectory, which can often facilitate adaptation to illness realities and improve communication between child/family and healthcare team. </w:t>
      </w:r>
    </w:p>
    <w:p w14:paraId="7DD3D472" w14:textId="77777777" w:rsidR="00B31867" w:rsidRPr="00D96D41" w:rsidRDefault="00B31867" w:rsidP="00D96D41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</w:rPr>
      </w:pPr>
      <w:r w:rsidRPr="003D00C0">
        <w:t xml:space="preserve">ACP/GOC conversations with children/families have shown to impact satisfaction of care and overall quality of life of the child. </w:t>
      </w:r>
    </w:p>
    <w:p w14:paraId="47926DBC" w14:textId="77777777" w:rsidR="00AB55AB" w:rsidRDefault="00AB55AB" w:rsidP="004F66C3">
      <w:pPr>
        <w:spacing w:after="0" w:line="240" w:lineRule="auto"/>
        <w:rPr>
          <w:rFonts w:cs="Arial"/>
          <w:b/>
          <w:i/>
        </w:rPr>
      </w:pPr>
    </w:p>
    <w:p w14:paraId="57889492" w14:textId="77777777" w:rsidR="004F66C3" w:rsidRPr="00D96D41" w:rsidRDefault="004F66C3" w:rsidP="004F66C3">
      <w:pPr>
        <w:spacing w:after="0" w:line="240" w:lineRule="auto"/>
        <w:rPr>
          <w:rFonts w:cs="Arial"/>
          <w:b/>
          <w:color w:val="6EB1A7"/>
          <w:sz w:val="28"/>
          <w:szCs w:val="28"/>
        </w:rPr>
      </w:pPr>
      <w:r w:rsidRPr="00D96D41">
        <w:rPr>
          <w:rFonts w:cs="Arial"/>
          <w:b/>
          <w:color w:val="6EB1A7"/>
          <w:sz w:val="28"/>
          <w:szCs w:val="28"/>
        </w:rPr>
        <w:t>How should these discussions take place?</w:t>
      </w:r>
    </w:p>
    <w:p w14:paraId="2DB885A0" w14:textId="77777777" w:rsidR="00AB55AB" w:rsidRPr="00AB55AB" w:rsidRDefault="00AB55AB" w:rsidP="004F66C3">
      <w:pPr>
        <w:spacing w:after="0" w:line="240" w:lineRule="auto"/>
        <w:rPr>
          <w:rFonts w:cs="Arial"/>
          <w:b/>
          <w:i/>
          <w:sz w:val="10"/>
          <w:szCs w:val="10"/>
        </w:rPr>
      </w:pPr>
    </w:p>
    <w:p w14:paraId="1AEB03C6" w14:textId="77777777" w:rsidR="004F66C3" w:rsidRPr="00D96D41" w:rsidRDefault="004F66C3" w:rsidP="00D96D41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</w:rPr>
      </w:pPr>
      <w:r w:rsidRPr="00D96D41">
        <w:rPr>
          <w:rFonts w:cs="Arial"/>
        </w:rPr>
        <w:t xml:space="preserve">Strong evidence suggests holding conversations in a step-by-step process is preferred along </w:t>
      </w:r>
      <w:proofErr w:type="gramStart"/>
      <w:r w:rsidRPr="00D96D41">
        <w:rPr>
          <w:rFonts w:cs="Arial"/>
        </w:rPr>
        <w:t>with</w:t>
      </w:r>
      <w:proofErr w:type="gramEnd"/>
      <w:r w:rsidRPr="00D96D41">
        <w:rPr>
          <w:rFonts w:cs="Arial"/>
        </w:rPr>
        <w:t xml:space="preserve"> a gradual and sensitive family-centred approach with shared decision making. </w:t>
      </w:r>
    </w:p>
    <w:p w14:paraId="44FC82B2" w14:textId="77777777" w:rsidR="007F5C08" w:rsidRPr="003D00C0" w:rsidRDefault="007F5C08" w:rsidP="00D96D41">
      <w:pPr>
        <w:numPr>
          <w:ilvl w:val="0"/>
          <w:numId w:val="9"/>
        </w:numPr>
        <w:spacing w:after="0" w:line="240" w:lineRule="auto"/>
      </w:pPr>
      <w:r w:rsidRPr="003D00C0">
        <w:t>All ACP/GOC discussions should include the elements/concepts of asking permission, exploring understanding and information needs, active listening, responding to emotions, sharing prognosis, and making recommendations that incorporate parents’ wishes/values/understandings.</w:t>
      </w:r>
    </w:p>
    <w:p w14:paraId="262EB03F" w14:textId="77777777" w:rsidR="00150D7C" w:rsidRDefault="007F5C08" w:rsidP="00D96D41">
      <w:pPr>
        <w:numPr>
          <w:ilvl w:val="0"/>
          <w:numId w:val="9"/>
        </w:numPr>
        <w:spacing w:after="0" w:line="240" w:lineRule="auto"/>
      </w:pPr>
      <w:r w:rsidRPr="003D00C0">
        <w:t>A secondary goal of these conversations is to build/promote trust and safet</w:t>
      </w:r>
      <w:r>
        <w:t>y with a child/</w:t>
      </w:r>
      <w:r w:rsidRPr="003D00C0">
        <w:t xml:space="preserve">family. </w:t>
      </w:r>
    </w:p>
    <w:p w14:paraId="2D4318CE" w14:textId="5B0D6C01" w:rsidR="00D96D41" w:rsidRDefault="004F66C3" w:rsidP="00D96D41">
      <w:pPr>
        <w:numPr>
          <w:ilvl w:val="0"/>
          <w:numId w:val="9"/>
        </w:numPr>
        <w:spacing w:after="0" w:line="240" w:lineRule="auto"/>
      </w:pPr>
      <w:r>
        <w:t xml:space="preserve">CPCH adapted the adult Serious Illness Conversation Guide process to use with parents of children with serious illness. Adapting the guide recognizes family-centered language, parents/guardians as the primary decision-makers, flexibility for a child’s developmental stage and consideration surrounding the difficulty of prognostication in children with rare diseases. The Serious Illness Conversation for Pediatrics resources </w:t>
      </w:r>
      <w:r w:rsidR="00D96D41">
        <w:t xml:space="preserve">can be found </w:t>
      </w:r>
      <w:hyperlink r:id="rId7" w:history="1">
        <w:r w:rsidR="00D96D41" w:rsidRPr="00D96D41">
          <w:rPr>
            <w:rStyle w:val="Hyperlink"/>
          </w:rPr>
          <w:t>here</w:t>
        </w:r>
      </w:hyperlink>
      <w:r w:rsidR="00D96D41">
        <w:t>.</w:t>
      </w:r>
    </w:p>
    <w:p w14:paraId="6F9C4717" w14:textId="77777777" w:rsidR="00D96D41" w:rsidRDefault="00D96D41" w:rsidP="00D96D41">
      <w:pPr>
        <w:spacing w:after="0" w:line="240" w:lineRule="auto"/>
        <w:ind w:left="360"/>
      </w:pPr>
    </w:p>
    <w:p w14:paraId="00382CE4" w14:textId="5F3B99BB" w:rsidR="004F66C3" w:rsidRDefault="004F66C3" w:rsidP="00D96D41">
      <w:pPr>
        <w:spacing w:after="0" w:line="240" w:lineRule="auto"/>
        <w:ind w:left="360"/>
      </w:pPr>
      <w:r>
        <w:t>CPCH provides support, mentorship and training for principles of ACP/GOC conversations based in SICG-</w:t>
      </w:r>
      <w:proofErr w:type="spellStart"/>
      <w:r>
        <w:t>Peds</w:t>
      </w:r>
      <w:proofErr w:type="spellEnd"/>
      <w:r>
        <w:t xml:space="preserve">. </w:t>
      </w:r>
      <w:r w:rsidRPr="00D96D41">
        <w:rPr>
          <w:b/>
        </w:rPr>
        <w:t xml:space="preserve">For clinical support or mentorship for ACP/GOC conversations for a child/family during regular weekday hours call 604-742-3478 to speak with </w:t>
      </w:r>
      <w:proofErr w:type="gramStart"/>
      <w:r w:rsidRPr="00D96D41">
        <w:rPr>
          <w:b/>
        </w:rPr>
        <w:t>an</w:t>
      </w:r>
      <w:proofErr w:type="gramEnd"/>
      <w:r w:rsidRPr="00D96D41">
        <w:rPr>
          <w:b/>
        </w:rPr>
        <w:t xml:space="preserve"> CP Advanced Practice Nurse or Physician. For urgent or after hours support call 604-3475.</w:t>
      </w:r>
      <w:r>
        <w:t xml:space="preserve"> </w:t>
      </w:r>
    </w:p>
    <w:p w14:paraId="061ECA20" w14:textId="77777777" w:rsidR="00AB55AB" w:rsidRDefault="00AB55AB" w:rsidP="00B31867">
      <w:pPr>
        <w:spacing w:after="0" w:line="240" w:lineRule="auto"/>
      </w:pPr>
    </w:p>
    <w:p w14:paraId="663CCFF1" w14:textId="77777777" w:rsidR="00B31867" w:rsidRPr="00D96D41" w:rsidRDefault="00B31867" w:rsidP="00B31867">
      <w:pPr>
        <w:spacing w:after="0" w:line="240" w:lineRule="auto"/>
        <w:rPr>
          <w:rFonts w:cs="Arial"/>
          <w:b/>
          <w:i/>
          <w:color w:val="6EB1A7"/>
          <w:sz w:val="28"/>
          <w:szCs w:val="28"/>
        </w:rPr>
      </w:pPr>
      <w:r w:rsidRPr="00D96D41">
        <w:rPr>
          <w:rFonts w:cs="Arial"/>
          <w:b/>
          <w:i/>
          <w:color w:val="6EB1A7"/>
          <w:sz w:val="28"/>
          <w:szCs w:val="28"/>
        </w:rPr>
        <w:lastRenderedPageBreak/>
        <w:t>When should conversations occur? How often should ACP/GOC be reviewed/revisited?</w:t>
      </w:r>
    </w:p>
    <w:p w14:paraId="4602401B" w14:textId="77777777" w:rsidR="00AB55AB" w:rsidRPr="00AB55AB" w:rsidRDefault="00AB55AB" w:rsidP="00B31867">
      <w:pPr>
        <w:spacing w:after="0" w:line="240" w:lineRule="auto"/>
        <w:rPr>
          <w:rFonts w:cs="Arial"/>
          <w:b/>
          <w:i/>
          <w:sz w:val="10"/>
          <w:szCs w:val="10"/>
        </w:rPr>
      </w:pPr>
    </w:p>
    <w:p w14:paraId="5F62208D" w14:textId="77777777" w:rsidR="00B31867" w:rsidRPr="00D96D41" w:rsidRDefault="00B31867" w:rsidP="00D96D41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</w:rPr>
      </w:pPr>
      <w:r w:rsidRPr="00D96D41">
        <w:rPr>
          <w:rFonts w:cs="Arial"/>
        </w:rPr>
        <w:t>Some conversations are formal appointments or interviews with families. Many healthcare clinicians will have these conversations during moments of care – the conversations may emerge as informal and unplanned.</w:t>
      </w:r>
    </w:p>
    <w:p w14:paraId="5287ABC5" w14:textId="77777777" w:rsidR="00B31867" w:rsidRPr="00D96D41" w:rsidRDefault="00B31867" w:rsidP="00D96D41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</w:rPr>
      </w:pPr>
      <w:r w:rsidRPr="00D96D41">
        <w:rPr>
          <w:rFonts w:cs="Arial"/>
        </w:rPr>
        <w:t>At CPCH, planned conversations occur annually/regularly and normalized as routine to the care of the child with a serious illness on the CPCH program.</w:t>
      </w:r>
    </w:p>
    <w:p w14:paraId="39D589A5" w14:textId="490DCBF6" w:rsidR="00B31867" w:rsidRPr="00D96D41" w:rsidRDefault="00B31867" w:rsidP="00D96D41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</w:rPr>
      </w:pPr>
      <w:r w:rsidRPr="00D96D41">
        <w:rPr>
          <w:rFonts w:cs="Arial"/>
        </w:rPr>
        <w:t>Planned conversations should occur as needed. The following delineate situations that may be prompts to revisit GOC:</w:t>
      </w:r>
    </w:p>
    <w:p w14:paraId="500E5A0E" w14:textId="77777777" w:rsidR="00B31867" w:rsidRPr="003D00C0" w:rsidRDefault="00B31867" w:rsidP="00D96D41">
      <w:pPr>
        <w:numPr>
          <w:ilvl w:val="3"/>
          <w:numId w:val="17"/>
        </w:numPr>
        <w:spacing w:after="0" w:line="240" w:lineRule="auto"/>
        <w:rPr>
          <w:rFonts w:cs="Arial"/>
        </w:rPr>
      </w:pPr>
      <w:r w:rsidRPr="003D00C0">
        <w:rPr>
          <w:rFonts w:cs="Arial"/>
        </w:rPr>
        <w:t>New diagnosis</w:t>
      </w:r>
    </w:p>
    <w:p w14:paraId="51A1A021" w14:textId="77777777" w:rsidR="00B31867" w:rsidRPr="003D00C0" w:rsidRDefault="00B31867" w:rsidP="00D96D41">
      <w:pPr>
        <w:numPr>
          <w:ilvl w:val="3"/>
          <w:numId w:val="17"/>
        </w:numPr>
        <w:spacing w:after="0" w:line="240" w:lineRule="auto"/>
        <w:rPr>
          <w:rFonts w:cs="Arial"/>
        </w:rPr>
      </w:pPr>
      <w:r w:rsidRPr="003D00C0">
        <w:rPr>
          <w:rFonts w:cs="Arial"/>
        </w:rPr>
        <w:t>Serious illness progresses/ difficult symptoms</w:t>
      </w:r>
    </w:p>
    <w:p w14:paraId="4088F20C" w14:textId="77777777" w:rsidR="00B31867" w:rsidRPr="003D00C0" w:rsidRDefault="00B31867" w:rsidP="00D96D41">
      <w:pPr>
        <w:numPr>
          <w:ilvl w:val="3"/>
          <w:numId w:val="17"/>
        </w:numPr>
        <w:spacing w:after="0" w:line="240" w:lineRule="auto"/>
        <w:rPr>
          <w:rFonts w:cs="Arial"/>
        </w:rPr>
      </w:pPr>
      <w:r w:rsidRPr="003D00C0">
        <w:rPr>
          <w:rFonts w:cs="Arial"/>
        </w:rPr>
        <w:t>Symptoms become unmanageable</w:t>
      </w:r>
    </w:p>
    <w:p w14:paraId="60BA8AF4" w14:textId="77777777" w:rsidR="00B31867" w:rsidRPr="003D00C0" w:rsidRDefault="00B31867" w:rsidP="00D96D41">
      <w:pPr>
        <w:numPr>
          <w:ilvl w:val="3"/>
          <w:numId w:val="17"/>
        </w:numPr>
        <w:spacing w:after="0" w:line="240" w:lineRule="auto"/>
        <w:rPr>
          <w:rFonts w:cs="Arial"/>
        </w:rPr>
      </w:pPr>
      <w:r w:rsidRPr="003D00C0">
        <w:rPr>
          <w:rFonts w:cs="Arial"/>
        </w:rPr>
        <w:t>Escalation of treatment</w:t>
      </w:r>
    </w:p>
    <w:p w14:paraId="6F718F40" w14:textId="77777777" w:rsidR="00B31867" w:rsidRPr="003D00C0" w:rsidRDefault="00B31867" w:rsidP="00D96D41">
      <w:pPr>
        <w:numPr>
          <w:ilvl w:val="3"/>
          <w:numId w:val="17"/>
        </w:numPr>
        <w:spacing w:after="0" w:line="240" w:lineRule="auto"/>
        <w:rPr>
          <w:rFonts w:cs="Arial"/>
        </w:rPr>
      </w:pPr>
      <w:r w:rsidRPr="003D00C0">
        <w:rPr>
          <w:rFonts w:cs="Arial"/>
        </w:rPr>
        <w:t>New treatments become available</w:t>
      </w:r>
    </w:p>
    <w:p w14:paraId="72917791" w14:textId="77777777" w:rsidR="00B31867" w:rsidRPr="003D00C0" w:rsidRDefault="00B31867" w:rsidP="00D96D41">
      <w:pPr>
        <w:numPr>
          <w:ilvl w:val="3"/>
          <w:numId w:val="17"/>
        </w:numPr>
        <w:spacing w:after="0" w:line="240" w:lineRule="auto"/>
        <w:rPr>
          <w:rFonts w:cs="Arial"/>
        </w:rPr>
      </w:pPr>
      <w:r w:rsidRPr="003D00C0">
        <w:rPr>
          <w:rFonts w:cs="Arial"/>
        </w:rPr>
        <w:t>Changes in family/child capacity/coping</w:t>
      </w:r>
    </w:p>
    <w:p w14:paraId="51A4F67A" w14:textId="77777777" w:rsidR="00B31867" w:rsidRPr="003D00C0" w:rsidRDefault="00B31867" w:rsidP="00D96D41">
      <w:pPr>
        <w:numPr>
          <w:ilvl w:val="3"/>
          <w:numId w:val="17"/>
        </w:numPr>
        <w:spacing w:after="0" w:line="240" w:lineRule="auto"/>
        <w:rPr>
          <w:rFonts w:cs="Arial"/>
        </w:rPr>
      </w:pPr>
      <w:r w:rsidRPr="003D00C0">
        <w:rPr>
          <w:rFonts w:cs="Arial"/>
        </w:rPr>
        <w:t>Requested by the family</w:t>
      </w:r>
    </w:p>
    <w:p w14:paraId="40908973" w14:textId="77777777" w:rsidR="00B31867" w:rsidRPr="003D00C0" w:rsidRDefault="00B31867" w:rsidP="00D96D41">
      <w:pPr>
        <w:numPr>
          <w:ilvl w:val="0"/>
          <w:numId w:val="18"/>
        </w:numPr>
        <w:spacing w:after="0" w:line="240" w:lineRule="auto"/>
        <w:rPr>
          <w:b/>
        </w:rPr>
      </w:pPr>
      <w:r w:rsidRPr="003D00C0">
        <w:t xml:space="preserve">Canuck Place will assess the need to revisit goals of care with a child/family if requested from other healthcare team (e.g., ICU). Assessing the need for a conversation does not necessarily mean goals will be revisited with the family; however, a CPCH team member may need to meet with the child/family’s healthcare team to clarify issues and address concerns. </w:t>
      </w:r>
    </w:p>
    <w:p w14:paraId="03F5E689" w14:textId="77777777" w:rsidR="00B31867" w:rsidRDefault="00B31867" w:rsidP="00B31867">
      <w:pPr>
        <w:spacing w:after="0" w:line="240" w:lineRule="auto"/>
        <w:rPr>
          <w:b/>
          <w:sz w:val="16"/>
          <w:szCs w:val="16"/>
        </w:rPr>
      </w:pPr>
    </w:p>
    <w:p w14:paraId="2165C0EE" w14:textId="77777777" w:rsidR="00B31867" w:rsidRPr="00D96D41" w:rsidRDefault="00B31867" w:rsidP="00B31867">
      <w:pPr>
        <w:spacing w:after="0" w:line="240" w:lineRule="auto"/>
        <w:rPr>
          <w:rFonts w:cs="Arial"/>
          <w:b/>
          <w:sz w:val="28"/>
          <w:szCs w:val="28"/>
        </w:rPr>
      </w:pPr>
      <w:r w:rsidRPr="00D96D41">
        <w:rPr>
          <w:rFonts w:cs="Arial"/>
          <w:b/>
          <w:color w:val="6EB1A7"/>
          <w:sz w:val="28"/>
          <w:szCs w:val="28"/>
        </w:rPr>
        <w:t>Where should conversations occur?</w:t>
      </w:r>
    </w:p>
    <w:p w14:paraId="57A71F5C" w14:textId="77777777" w:rsidR="00AB55AB" w:rsidRPr="00AB55AB" w:rsidRDefault="00AB55AB" w:rsidP="00B31867">
      <w:pPr>
        <w:spacing w:after="0" w:line="240" w:lineRule="auto"/>
        <w:rPr>
          <w:rFonts w:cs="Arial"/>
          <w:b/>
          <w:i/>
          <w:sz w:val="10"/>
          <w:szCs w:val="10"/>
        </w:rPr>
      </w:pPr>
    </w:p>
    <w:p w14:paraId="416AEF67" w14:textId="77777777" w:rsidR="00B31867" w:rsidRDefault="00B31867" w:rsidP="00D96D41">
      <w:pPr>
        <w:numPr>
          <w:ilvl w:val="1"/>
          <w:numId w:val="19"/>
        </w:numPr>
        <w:spacing w:after="0" w:line="240" w:lineRule="auto"/>
        <w:rPr>
          <w:rFonts w:cs="Arial"/>
        </w:rPr>
      </w:pPr>
      <w:r w:rsidRPr="003D00C0">
        <w:rPr>
          <w:rFonts w:cs="Arial"/>
        </w:rPr>
        <w:t>When possible, conversations are best conducted in a comfortable, private setting OR a setting that meets the needs of the child/family</w:t>
      </w:r>
      <w:r>
        <w:rPr>
          <w:rFonts w:cs="Arial"/>
        </w:rPr>
        <w:t>.</w:t>
      </w:r>
    </w:p>
    <w:p w14:paraId="3E6F1A3C" w14:textId="77777777" w:rsidR="00B31867" w:rsidRPr="003D00C0" w:rsidRDefault="00B31867" w:rsidP="00B31867">
      <w:pPr>
        <w:rPr>
          <w:rFonts w:cs="Arial"/>
          <w:sz w:val="16"/>
          <w:szCs w:val="16"/>
        </w:rPr>
      </w:pPr>
    </w:p>
    <w:p w14:paraId="474E4524" w14:textId="77777777" w:rsidR="00B31867" w:rsidRPr="00D96D41" w:rsidRDefault="00B31867" w:rsidP="00D80FF1">
      <w:pPr>
        <w:spacing w:after="0" w:line="240" w:lineRule="auto"/>
        <w:rPr>
          <w:rFonts w:cs="Arial"/>
          <w:b/>
          <w:color w:val="6EB1A7"/>
          <w:sz w:val="28"/>
          <w:szCs w:val="28"/>
        </w:rPr>
      </w:pPr>
      <w:r w:rsidRPr="00D96D41">
        <w:rPr>
          <w:rFonts w:cs="Arial"/>
          <w:b/>
          <w:color w:val="6EB1A7"/>
          <w:sz w:val="28"/>
          <w:szCs w:val="28"/>
        </w:rPr>
        <w:t>Who should attend these conversations?</w:t>
      </w:r>
    </w:p>
    <w:p w14:paraId="20BF4BA6" w14:textId="77777777" w:rsidR="00AB55AB" w:rsidRPr="00AB55AB" w:rsidRDefault="00AB55AB" w:rsidP="00D80FF1">
      <w:pPr>
        <w:spacing w:after="0" w:line="240" w:lineRule="auto"/>
        <w:rPr>
          <w:rFonts w:cs="Arial"/>
          <w:b/>
          <w:i/>
          <w:sz w:val="10"/>
          <w:szCs w:val="10"/>
        </w:rPr>
      </w:pPr>
    </w:p>
    <w:p w14:paraId="65C5E36A" w14:textId="77777777" w:rsidR="00B31867" w:rsidRPr="003D00C0" w:rsidRDefault="00B31867" w:rsidP="00D96D41">
      <w:pPr>
        <w:numPr>
          <w:ilvl w:val="1"/>
          <w:numId w:val="20"/>
        </w:numPr>
        <w:spacing w:after="0" w:line="240" w:lineRule="auto"/>
        <w:rPr>
          <w:rFonts w:cs="Arial"/>
        </w:rPr>
      </w:pPr>
      <w:r w:rsidRPr="003D00C0">
        <w:rPr>
          <w:rFonts w:cs="Arial"/>
        </w:rPr>
        <w:t>It is not necessary to have every involved healthcare clinician in the room during these conversations. These conversations could occur over a period of time and other clinicians can be included as needed</w:t>
      </w:r>
      <w:r w:rsidR="00D80FF1">
        <w:rPr>
          <w:rFonts w:cs="Arial"/>
        </w:rPr>
        <w:t>.</w:t>
      </w:r>
    </w:p>
    <w:p w14:paraId="73B2379D" w14:textId="77777777" w:rsidR="00B31867" w:rsidRDefault="00B31867" w:rsidP="00D96D41">
      <w:pPr>
        <w:numPr>
          <w:ilvl w:val="1"/>
          <w:numId w:val="20"/>
        </w:numPr>
        <w:spacing w:after="0" w:line="240" w:lineRule="auto"/>
        <w:rPr>
          <w:rFonts w:cs="Arial"/>
        </w:rPr>
      </w:pPr>
      <w:r w:rsidRPr="003D00C0">
        <w:rPr>
          <w:rFonts w:cs="Arial"/>
        </w:rPr>
        <w:t>Consider including the people that family identify as being integral to shared decision-making and active participants in the care of the child. When possible, the child should be included and their wishes should always be considered.</w:t>
      </w:r>
    </w:p>
    <w:p w14:paraId="170C87A3" w14:textId="77777777" w:rsidR="00B31867" w:rsidRPr="003D00C0" w:rsidRDefault="00B31867" w:rsidP="00B31867">
      <w:pPr>
        <w:rPr>
          <w:rFonts w:cs="Arial"/>
          <w:sz w:val="16"/>
          <w:szCs w:val="16"/>
        </w:rPr>
      </w:pPr>
    </w:p>
    <w:p w14:paraId="56BC2698" w14:textId="77777777" w:rsidR="00B31867" w:rsidRPr="003D00C0" w:rsidRDefault="00B31867" w:rsidP="00B31867">
      <w:pPr>
        <w:rPr>
          <w:rFonts w:cs="Arial"/>
          <w:sz w:val="16"/>
          <w:szCs w:val="16"/>
        </w:rPr>
      </w:pPr>
    </w:p>
    <w:p w14:paraId="0B217FC5" w14:textId="77777777" w:rsidR="004F66C3" w:rsidRPr="003D00C0" w:rsidRDefault="004F66C3" w:rsidP="004F66C3">
      <w:pPr>
        <w:spacing w:after="0" w:line="240" w:lineRule="auto"/>
      </w:pPr>
    </w:p>
    <w:p w14:paraId="1F2F6749" w14:textId="77777777" w:rsidR="00B31867" w:rsidRDefault="00B31867"/>
    <w:sectPr w:rsidR="00B3186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6C90F" w14:textId="77777777" w:rsidR="00D96D41" w:rsidRDefault="00D96D41" w:rsidP="00D96D41">
      <w:pPr>
        <w:spacing w:after="0" w:line="240" w:lineRule="auto"/>
      </w:pPr>
      <w:r>
        <w:separator/>
      </w:r>
    </w:p>
  </w:endnote>
  <w:endnote w:type="continuationSeparator" w:id="0">
    <w:p w14:paraId="67F2A513" w14:textId="77777777" w:rsidR="00D96D41" w:rsidRDefault="00D96D41" w:rsidP="00D96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1DEA3" w14:textId="2AEA1E9E" w:rsidR="00205CF1" w:rsidRPr="00023C21" w:rsidRDefault="00023C21" w:rsidP="00023C21">
    <w:pPr>
      <w:pStyle w:val="Footer"/>
      <w:jc w:val="right"/>
      <w:rPr>
        <w:b/>
        <w:color w:val="6EB1A7"/>
      </w:rPr>
    </w:pPr>
    <w:r w:rsidRPr="00023C21">
      <w:rPr>
        <w:b/>
        <w:color w:val="6EB1A7"/>
      </w:rPr>
      <w:t>canuckplace.org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72A95" w14:textId="77777777" w:rsidR="00D96D41" w:rsidRDefault="00D96D41" w:rsidP="00D96D41">
      <w:pPr>
        <w:spacing w:after="0" w:line="240" w:lineRule="auto"/>
      </w:pPr>
      <w:r>
        <w:separator/>
      </w:r>
    </w:p>
  </w:footnote>
  <w:footnote w:type="continuationSeparator" w:id="0">
    <w:p w14:paraId="112DB7A2" w14:textId="77777777" w:rsidR="00D96D41" w:rsidRDefault="00D96D41" w:rsidP="00D96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D5F2E" w14:textId="3DE12288" w:rsidR="00D96D41" w:rsidRDefault="00D96D4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D477914" wp14:editId="4060E54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821930" cy="842010"/>
              <wp:effectExtent l="0" t="0" r="762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1930" cy="842010"/>
                      </a:xfrm>
                      <a:prstGeom prst="rect">
                        <a:avLst/>
                      </a:prstGeom>
                      <a:solidFill>
                        <a:srgbClr val="6EB1A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82B29BE" w14:textId="77777777" w:rsidR="009227FE" w:rsidRDefault="00821E17" w:rsidP="009227FE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aps/>
                              <w:color w:val="FFFFFF" w:themeColor="background1"/>
                            </w:rPr>
                            <w:pict w14:anchorId="67967BAF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06.8pt;height:37.2pt">
                                <v:imagedata r:id="rId1" o:title="CPCH_PrimaryLogo_white_Horz"/>
                              </v:shape>
                            </w:pict>
                          </w:r>
                        </w:p>
                        <w:p w14:paraId="3A6F4D4A" w14:textId="0DFAC383" w:rsidR="00D96D41" w:rsidRPr="00205CF1" w:rsidRDefault="009227FE" w:rsidP="009227FE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28"/>
                            </w:rPr>
                          </w:pPr>
                          <w:r w:rsidRPr="00205CF1">
                            <w:rPr>
                              <w:b/>
                              <w:caps/>
                              <w:color w:val="FFFFFF" w:themeColor="background1"/>
                              <w:sz w:val="28"/>
                            </w:rPr>
                            <w:t>Canuck Place Children’s Hospice (CPCH) Advance Care Planning Info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477914" id="Rectangle 197" o:spid="_x0000_s1026" style="position:absolute;margin-left:0;margin-top:0;width:615.9pt;height:66.3pt;z-index:-251657216;visibility:visible;mso-wrap-style:square;mso-width-percent:0;mso-height-percent:0;mso-wrap-distance-left:9.35pt;mso-wrap-distance-top:0;mso-wrap-distance-right:9.35pt;mso-wrap-distance-bottom:0;mso-position-horizontal:left;mso-position-horizontal-relative:page;mso-position-vertical:top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" o:allowoverlap="f" fillcolor="#6eb1a7" stroked="f" strokeweight="1pt">
              <v:textbox>
                <w:txbxContent>
                  <w:p w14:paraId="682B29BE" w14:textId="77777777" w:rsidR="009227FE" w:rsidRDefault="009227FE" w:rsidP="009227FE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FFFFFF" w:themeColor="background1"/>
                      </w:rPr>
                    </w:pPr>
                    <w:r>
                      <w:rPr>
                        <w:b/>
                        <w:caps/>
                        <w:color w:val="FFFFFF" w:themeColor="background1"/>
                      </w:rPr>
                      <w:pict w14:anchorId="67967BAF">
                        <v:shape id="_x0000_i1067" type="#_x0000_t75" style="width:106.8pt;height:37.8pt">
                          <v:imagedata r:id="rId2" o:title="CPCH_PrimaryLogo_white_Horz"/>
                        </v:shape>
                      </w:pict>
                    </w:r>
                  </w:p>
                  <w:p w14:paraId="3A6F4D4A" w14:textId="0DFAC383" w:rsidR="00D96D41" w:rsidRPr="00205CF1" w:rsidRDefault="009227FE" w:rsidP="009227FE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FFFFFF" w:themeColor="background1"/>
                        <w:sz w:val="28"/>
                      </w:rPr>
                    </w:pPr>
                    <w:r w:rsidRPr="00205CF1">
                      <w:rPr>
                        <w:b/>
                        <w:caps/>
                        <w:color w:val="FFFFFF" w:themeColor="background1"/>
                        <w:sz w:val="28"/>
                      </w:rPr>
                      <w:t>Canuck Place Children’s Hospice (CPCH) Advance Care Planning Info Sheet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3A07"/>
    <w:multiLevelType w:val="hybridMultilevel"/>
    <w:tmpl w:val="B016D2C2"/>
    <w:lvl w:ilvl="0" w:tplc="09DC7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4C2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CC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47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A1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3A0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C03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C6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8F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8578AB"/>
    <w:multiLevelType w:val="hybridMultilevel"/>
    <w:tmpl w:val="13AAE4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DF5696"/>
    <w:multiLevelType w:val="hybridMultilevel"/>
    <w:tmpl w:val="7BA04C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110DB"/>
    <w:multiLevelType w:val="multilevel"/>
    <w:tmpl w:val="BCA6A7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495D8C"/>
    <w:multiLevelType w:val="hybridMultilevel"/>
    <w:tmpl w:val="38047572"/>
    <w:lvl w:ilvl="0" w:tplc="254C54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EB1A7"/>
      </w:rPr>
    </w:lvl>
    <w:lvl w:ilvl="1" w:tplc="0BA2A7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6EB1A7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65E7C"/>
    <w:multiLevelType w:val="hybridMultilevel"/>
    <w:tmpl w:val="FDAAEC7C"/>
    <w:lvl w:ilvl="0" w:tplc="254C54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EB1A7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A37562"/>
    <w:multiLevelType w:val="hybridMultilevel"/>
    <w:tmpl w:val="0BFAB0AC"/>
    <w:lvl w:ilvl="0" w:tplc="68ACE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20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ECE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6A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B68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27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144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CE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EB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CC22539"/>
    <w:multiLevelType w:val="hybridMultilevel"/>
    <w:tmpl w:val="4FEA5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54C5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EB1A7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C7203"/>
    <w:multiLevelType w:val="hybridMultilevel"/>
    <w:tmpl w:val="091E0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1D0235"/>
    <w:multiLevelType w:val="hybridMultilevel"/>
    <w:tmpl w:val="C94C0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923A3CA2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  <w:color w:val="6EB1A7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24678"/>
    <w:multiLevelType w:val="hybridMultilevel"/>
    <w:tmpl w:val="53929A04"/>
    <w:lvl w:ilvl="0" w:tplc="1A5C9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E3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20E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28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0D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ED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CF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0E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580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C5C744E"/>
    <w:multiLevelType w:val="hybridMultilevel"/>
    <w:tmpl w:val="46FC9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54C5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EB1A7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92964"/>
    <w:multiLevelType w:val="hybridMultilevel"/>
    <w:tmpl w:val="09DA57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566C0"/>
    <w:multiLevelType w:val="hybridMultilevel"/>
    <w:tmpl w:val="1F9036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E7DEF"/>
    <w:multiLevelType w:val="hybridMultilevel"/>
    <w:tmpl w:val="24181A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923A3CA2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  <w:color w:val="6EB1A7"/>
      </w:rPr>
    </w:lvl>
    <w:lvl w:ilvl="3" w:tplc="923A3CA2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6EB1A7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955C7"/>
    <w:multiLevelType w:val="hybridMultilevel"/>
    <w:tmpl w:val="163E8F18"/>
    <w:lvl w:ilvl="0" w:tplc="254C54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EB1A7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8A3178"/>
    <w:multiLevelType w:val="hybridMultilevel"/>
    <w:tmpl w:val="EA10E908"/>
    <w:lvl w:ilvl="0" w:tplc="254C54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EB1A7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3F4A54"/>
    <w:multiLevelType w:val="hybridMultilevel"/>
    <w:tmpl w:val="848670DA"/>
    <w:lvl w:ilvl="0" w:tplc="254C54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EB1A7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0A5048"/>
    <w:multiLevelType w:val="hybridMultilevel"/>
    <w:tmpl w:val="515216FE"/>
    <w:lvl w:ilvl="0" w:tplc="0BA2A70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6EB1A7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D26A2E"/>
    <w:multiLevelType w:val="hybridMultilevel"/>
    <w:tmpl w:val="7C2AE0FC"/>
    <w:lvl w:ilvl="0" w:tplc="254C54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EB1A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3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17"/>
  </w:num>
  <w:num w:numId="10">
    <w:abstractNumId w:val="19"/>
  </w:num>
  <w:num w:numId="11">
    <w:abstractNumId w:val="4"/>
  </w:num>
  <w:num w:numId="12">
    <w:abstractNumId w:val="18"/>
  </w:num>
  <w:num w:numId="13">
    <w:abstractNumId w:val="16"/>
  </w:num>
  <w:num w:numId="14">
    <w:abstractNumId w:val="1"/>
  </w:num>
  <w:num w:numId="15">
    <w:abstractNumId w:val="15"/>
  </w:num>
  <w:num w:numId="16">
    <w:abstractNumId w:val="9"/>
  </w:num>
  <w:num w:numId="17">
    <w:abstractNumId w:val="14"/>
  </w:num>
  <w:num w:numId="18">
    <w:abstractNumId w:val="5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67"/>
    <w:rsid w:val="00023C21"/>
    <w:rsid w:val="00150D7C"/>
    <w:rsid w:val="00205CF1"/>
    <w:rsid w:val="004F66C3"/>
    <w:rsid w:val="0054604D"/>
    <w:rsid w:val="0063393E"/>
    <w:rsid w:val="007F5C08"/>
    <w:rsid w:val="00821E17"/>
    <w:rsid w:val="00896D08"/>
    <w:rsid w:val="009227FE"/>
    <w:rsid w:val="00A424B3"/>
    <w:rsid w:val="00AB55AB"/>
    <w:rsid w:val="00B31867"/>
    <w:rsid w:val="00D03C41"/>
    <w:rsid w:val="00D80FF1"/>
    <w:rsid w:val="00D9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226C044"/>
  <w15:chartTrackingRefBased/>
  <w15:docId w15:val="{DD87C113-C179-44C3-A43D-E32E4643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B31867"/>
    <w:pPr>
      <w:suppressAutoHyphens/>
      <w:autoSpaceDN w:val="0"/>
      <w:spacing w:after="140" w:line="276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val="en-CA" w:eastAsia="zh-CN" w:bidi="hi-IN"/>
    </w:rPr>
  </w:style>
  <w:style w:type="character" w:styleId="Hyperlink">
    <w:name w:val="Hyperlink"/>
    <w:basedOn w:val="DefaultParagraphFont"/>
    <w:uiPriority w:val="99"/>
    <w:unhideWhenUsed/>
    <w:rsid w:val="004F66C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0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D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D7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6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D41"/>
  </w:style>
  <w:style w:type="paragraph" w:styleId="Footer">
    <w:name w:val="footer"/>
    <w:basedOn w:val="Normal"/>
    <w:link w:val="FooterChar"/>
    <w:uiPriority w:val="99"/>
    <w:unhideWhenUsed/>
    <w:rsid w:val="00D96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D41"/>
  </w:style>
  <w:style w:type="paragraph" w:styleId="ListParagraph">
    <w:name w:val="List Paragraph"/>
    <w:basedOn w:val="Normal"/>
    <w:uiPriority w:val="34"/>
    <w:qFormat/>
    <w:rsid w:val="00D96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C:\Users\nlusney\AppData\Local\Microsoft\Windows\INetCache\Content.Outlook\XTF29DTB\ohttp:\policyandorders.cw.bc.ca\resource-gallery\Documents\CW%20Campus%20Wide\C-0506-07-60885%20Serious%20Illness%20Care%20Guideline%20For%20Interprofessional%20Clinicians%20In%20The%20Pediatric%20Setti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Canuck Place Children’s Hospice (CPCH) Advance Care Planning Info Sheet</vt:lpstr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Canuck Place Children’s Hospice (CPCH) Advance Care Planning Info Sheet</dc:title>
  <dc:subject/>
  <dc:creator>Nadine Lusney</dc:creator>
  <cp:keywords/>
  <dc:description/>
  <cp:lastModifiedBy>Susan Poitras</cp:lastModifiedBy>
  <cp:revision>2</cp:revision>
  <dcterms:created xsi:type="dcterms:W3CDTF">2022-07-06T17:53:00Z</dcterms:created>
  <dcterms:modified xsi:type="dcterms:W3CDTF">2022-07-06T17:53:00Z</dcterms:modified>
</cp:coreProperties>
</file>